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19, 2026</w:t>
      </w:r>
    </w:p>
    <w:p>
      <w:pPr>
        <w:spacing w:after="0" w:line="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128905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57785</wp:posOffset>
            </wp:positionV>
            <wp:extent cx="2194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139700</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Marriott Vacations Worldwide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1366" w:right="339" w:bottom="1440" w:gutter="0" w:footer="0" w:header="0"/>
        </w:sectPr>
      </w:pPr>
    </w:p>
    <w:p>
      <w:pPr>
        <w:spacing w:after="0" w:line="255"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42-2598330</w:t>
      </w:r>
    </w:p>
    <w:p>
      <w:pPr>
        <w:spacing w:after="0" w:line="65" w:lineRule="exact"/>
        <w:rPr>
          <w:sz w:val="24"/>
          <w:szCs w:val="24"/>
          <w:color w:val="auto"/>
        </w:rPr>
      </w:pPr>
    </w:p>
    <w:p>
      <w:pPr>
        <w:sectPr>
          <w:pgSz w:w="11900" w:h="16838" w:orient="portrait"/>
          <w:cols w:equalWidth="0" w:num="2">
            <w:col w:w="7380" w:space="720"/>
            <w:col w:w="3140"/>
          </w:cols>
          <w:pgMar w:left="320" w:top="1366"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2">
            <w:col w:w="6340" w:space="720"/>
            <w:col w:w="4180"/>
          </w:cols>
          <w:pgMar w:left="320" w:top="1366" w:right="339" w:bottom="1440" w:gutter="0" w:footer="0" w:header="0"/>
          <w:type w:val="continuous"/>
        </w:sectPr>
      </w:pPr>
    </w:p>
    <w:p>
      <w:pPr>
        <w:spacing w:after="0" w:line="14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7812 Palm Parkway</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Orlando, FL 32836</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Marriott Vacations Worldwide Corporation 2020 Equity Incentive Plan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(Full title of the plan)</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Andrew T. Marcus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7812 Palm Parkway, Orlando, FL 32836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(407) 206-6000</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143510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4" w:lineRule="exact"/>
        <w:rPr>
          <w:sz w:val="24"/>
          <w:szCs w:val="24"/>
          <w:color w:val="auto"/>
        </w:rPr>
      </w:pPr>
    </w:p>
    <w:p>
      <w:pPr>
        <w:ind w:right="160" w:firstLine="648"/>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267970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GENERAL INSTRUCTION E TO FORM S-8</w:t>
      </w:r>
    </w:p>
    <w:p>
      <w:pPr>
        <w:spacing w:after="0" w:line="121" w:lineRule="exact"/>
        <w:rPr>
          <w:sz w:val="20"/>
          <w:szCs w:val="20"/>
          <w:color w:val="auto"/>
        </w:rPr>
      </w:pPr>
    </w:p>
    <w:p>
      <w:pPr>
        <w:jc w:val="both"/>
        <w:ind w:firstLine="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is being filed by Marriott Vacations Worldwide Corporation (the “Company” or the “Registrant”) to register 2,500,000 additional shares of the Company’s common stock with respect to the Marriott Vacations Worldwide Corporation 2020 Equity Incentive Plan (the “Plan”), which is in addition to the 1,776,253 shares of the Company’s common stock previously registered on the Company’s Registration Statement on Form S-8 filed with the U.S. Securities and Exchange Commission (the “Commission”) on June 23, 2020 (</w:t>
      </w:r>
      <w:hyperlink r:id="rId13">
        <w:r>
          <w:rPr>
            <w:rFonts w:ascii="Times New Roman" w:cs="Times New Roman" w:eastAsia="Times New Roman" w:hAnsi="Times New Roman"/>
            <w:sz w:val="18"/>
            <w:szCs w:val="18"/>
            <w:u w:val="single" w:color="auto"/>
            <w:color w:val="0000FF"/>
          </w:rPr>
          <w:t>File No. 333-239368</w:t>
        </w:r>
      </w:hyperlink>
      <w:r>
        <w:rPr>
          <w:rFonts w:ascii="Times New Roman" w:cs="Times New Roman" w:eastAsia="Times New Roman" w:hAnsi="Times New Roman"/>
          <w:sz w:val="18"/>
          <w:szCs w:val="18"/>
          <w:color w:val="auto"/>
        </w:rPr>
        <w:t>) (the “2020 Registration Statement”) and the 1,250,000 shares of the Company’s common stock previously registered on the Company’s Registration Statement on Form S-8 filed with the Commission on May 23, 2024 (</w:t>
      </w:r>
      <w:hyperlink r:id="rId14">
        <w:r>
          <w:rPr>
            <w:rFonts w:ascii="Times New Roman" w:cs="Times New Roman" w:eastAsia="Times New Roman" w:hAnsi="Times New Roman"/>
            <w:sz w:val="18"/>
            <w:szCs w:val="18"/>
            <w:u w:val="single" w:color="auto"/>
            <w:color w:val="0000FF"/>
          </w:rPr>
          <w:t>File No. 333-279656</w:t>
        </w:r>
      </w:hyperlink>
      <w:r>
        <w:rPr>
          <w:rFonts w:ascii="Times New Roman" w:cs="Times New Roman" w:eastAsia="Times New Roman" w:hAnsi="Times New Roman"/>
          <w:sz w:val="18"/>
          <w:szCs w:val="18"/>
          <w:color w:val="auto"/>
        </w:rPr>
        <w:t>) (together with the 2020 Registration Statement, the “Prior Registration Statements”).</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Registration Statement relates to securities of the same class as those registered under the Prior Registration Statements and is being filed in accordance with General Instruction E to Form S-8 regarding the registration of additional securities under the Plan. Pursuant to such instruction, the contents of the Prior Registration Statements are hereby incorporated by reference in and made part of this Registration Statement, except to the extent supplemented, superseded or modified by the specific information set forth below or the specific exhibits attached hereto. Also pursuant to General Instruction E to Form S-8, the filing fee is being paid only with respect to the 2,500,000 shares of the Company’s common stock not previously registered.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ectPr>
          <w:pgSz w:w="11900" w:h="16838" w:orient="portrait"/>
          <w:cols w:equalWidth="0" w:num="1">
            <w:col w:w="11240"/>
          </w:cols>
          <w:pgMar w:left="320" w:top="1089" w:right="339" w:bottom="1440" w:gutter="0" w:footer="0" w:header="0"/>
        </w:sectPr>
      </w:pPr>
    </w:p>
    <w:p>
      <w:pPr>
        <w:spacing w:after="0" w:line="158"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96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15"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4.1</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4.2</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4.3</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23.1*</w:t>
      </w:r>
    </w:p>
    <w:p>
      <w:pPr>
        <w:spacing w:after="0" w:line="2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23.2*</w:t>
      </w:r>
    </w:p>
    <w:p>
      <w:pPr>
        <w:spacing w:after="0" w:line="2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24*</w:t>
      </w:r>
    </w:p>
    <w:p>
      <w:pPr>
        <w:spacing w:after="0" w:line="23"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107*</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*Filed herewith.</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6275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0" w:lineRule="exact"/>
        <w:rPr>
          <w:sz w:val="20"/>
          <w:szCs w:val="20"/>
          <w:color w:val="auto"/>
        </w:rPr>
      </w:pPr>
    </w:p>
    <w:p>
      <w:pPr>
        <w:ind w:right="140"/>
        <w:spacing w:after="0" w:line="237" w:lineRule="auto"/>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u w:val="single" w:color="auto"/>
            <w:color w:val="0000FF"/>
          </w:rPr>
          <w:t>Second Restated Certificate of Incorporation of Marriott Vacations Worldwide Corporation</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3.2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Company’s Current Report on Form 8-K filed on May 15, 2023).</w:t>
      </w:r>
    </w:p>
    <w:p>
      <w:pPr>
        <w:spacing w:after="0" w:line="10" w:lineRule="exact"/>
        <w:rPr>
          <w:sz w:val="20"/>
          <w:szCs w:val="20"/>
          <w:color w:val="auto"/>
        </w:rPr>
      </w:pPr>
    </w:p>
    <w:p>
      <w:pPr>
        <w:ind w:right="280"/>
        <w:spacing w:after="0" w:line="237" w:lineRule="auto"/>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u w:val="single" w:color="auto"/>
            <w:color w:val="0000FF"/>
          </w:rPr>
          <w:t>Restated Bylaws of Marriott Vacations Worldwide Corporation</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3.3 to the Company’s Quarterly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Report on Form 10-Q filed on August 4, 2023).</w:t>
      </w:r>
    </w:p>
    <w:p>
      <w:pPr>
        <w:spacing w:after="0" w:line="10" w:lineRule="exact"/>
        <w:rPr>
          <w:sz w:val="20"/>
          <w:szCs w:val="20"/>
          <w:color w:val="auto"/>
        </w:rPr>
      </w:pPr>
    </w:p>
    <w:p>
      <w:pPr>
        <w:ind w:right="180"/>
        <w:spacing w:after="0" w:line="237" w:lineRule="auto"/>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u w:val="single" w:color="auto"/>
            <w:color w:val="0000FF"/>
          </w:rPr>
          <w:t>Marriott Vacations Worldwide Corporation 2020 Equity Incentive Plan, as amended and restated effective May 15, 2026</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Exhibit 10.1 to the Company’s Current Report on Form 8-K filed on May 18,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Foley &amp; Lardner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Foley &amp; Lardner LLP</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in Exhibit 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Ernst &amp; Young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(included on the signature page hereto)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Filing Fee Table</w:t>
      </w:r>
    </w:p>
    <w:p>
      <w:pPr>
        <w:spacing w:after="0" w:line="507" w:lineRule="exact"/>
        <w:rPr>
          <w:sz w:val="20"/>
          <w:szCs w:val="20"/>
          <w:color w:val="auto"/>
        </w:rPr>
      </w:pPr>
    </w:p>
    <w:p>
      <w:pPr>
        <w:sectPr>
          <w:pgSz w:w="11900" w:h="16838" w:orient="portrait"/>
          <w:cols w:equalWidth="0" w:num="2">
            <w:col w:w="1200" w:space="180"/>
            <w:col w:w="9860"/>
          </w:cols>
          <w:pgMar w:left="320" w:top="108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089"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Orlando, State of Florida, on this 19th day of May, 2026.</w:t>
      </w:r>
    </w:p>
    <w:p>
      <w:pPr>
        <w:spacing w:after="0" w:line="10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54" w:lineRule="exact"/>
        <w:rPr>
          <w:sz w:val="20"/>
          <w:szCs w:val="20"/>
          <w:color w:val="auto"/>
        </w:rPr>
      </w:pPr>
    </w:p>
    <w:p>
      <w:pPr>
        <w:ind w:left="3600"/>
        <w:spacing w:after="0"/>
        <w:tabs>
          <w:tab w:leader="none" w:pos="4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T. Marcus</w:t>
      </w:r>
    </w:p>
    <w:p>
      <w:pPr>
        <w:spacing w:after="0" w:line="5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Andrew T. Marcus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-127635</wp:posOffset>
            </wp:positionV>
            <wp:extent cx="2486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43" w:lineRule="exact"/>
        <w:rPr>
          <w:sz w:val="20"/>
          <w:szCs w:val="20"/>
          <w:color w:val="auto"/>
        </w:rPr>
      </w:pPr>
    </w:p>
    <w:p>
      <w:pPr>
        <w:ind w:left="3600"/>
        <w:spacing w:after="0"/>
        <w:tabs>
          <w:tab w:leader="none" w:pos="420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jointly and severally Matthew E. Avril, Jason P. Marino and Andrew T. Marcus, and each one of them, the individual’s true and lawful attorneys-in-fact and agents, with full power of substitution and resubstitution, for him or her and in his or her name, place and stead, in any and all capacities, to sign any and all amendments, including post-effective amendments or supplements,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could do in person, hereby ratifying and confirming all that said attorneys-in-fact and agents or their substitute or substitutes may lawfully do or cause to be done by virtue hereof.</w:t>
      </w:r>
    </w:p>
    <w:p>
      <w:pPr>
        <w:spacing w:after="0" w:line="8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58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Matthew E. Avril</w:t>
            </w:r>
          </w:p>
        </w:tc>
        <w:tc>
          <w:tcPr>
            <w:tcW w:w="100" w:type="dxa"/>
            <w:vAlign w:val="bottom"/>
          </w:tcPr>
          <w:p>
            <w:pPr>
              <w:spacing w:after="0"/>
              <w:rPr>
                <w:sz w:val="24"/>
                <w:szCs w:val="24"/>
                <w:color w:val="auto"/>
              </w:rPr>
            </w:pPr>
          </w:p>
        </w:tc>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40"/>
        </w:trPr>
        <w:tc>
          <w:tcPr>
            <w:tcW w:w="3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Matthew E. Avril</w:t>
            </w:r>
          </w:p>
        </w:tc>
        <w:tc>
          <w:tcPr>
            <w:tcW w:w="100" w:type="dxa"/>
            <w:vAlign w:val="bottom"/>
          </w:tcPr>
          <w:p>
            <w:pPr>
              <w:spacing w:after="0"/>
              <w:rPr>
                <w:sz w:val="7"/>
                <w:szCs w:val="7"/>
                <w:color w:val="auto"/>
              </w:rPr>
            </w:pPr>
          </w:p>
        </w:tc>
        <w:tc>
          <w:tcPr>
            <w:tcW w:w="588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Jason P. Marino</w:t>
            </w:r>
          </w:p>
        </w:tc>
        <w:tc>
          <w:tcPr>
            <w:tcW w:w="100" w:type="dxa"/>
            <w:vAlign w:val="bottom"/>
          </w:tcPr>
          <w:p>
            <w:pPr>
              <w:spacing w:after="0"/>
              <w:rPr>
                <w:sz w:val="24"/>
                <w:szCs w:val="24"/>
                <w:color w:val="auto"/>
              </w:rPr>
            </w:pPr>
          </w:p>
        </w:tc>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41"/>
        </w:trPr>
        <w:tc>
          <w:tcPr>
            <w:tcW w:w="3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Jason P. Marino</w:t>
            </w:r>
          </w:p>
        </w:tc>
        <w:tc>
          <w:tcPr>
            <w:tcW w:w="100" w:type="dxa"/>
            <w:vAlign w:val="bottom"/>
          </w:tcPr>
          <w:p>
            <w:pPr>
              <w:spacing w:after="0"/>
              <w:rPr>
                <w:sz w:val="7"/>
                <w:szCs w:val="7"/>
                <w:color w:val="auto"/>
              </w:rPr>
            </w:pPr>
          </w:p>
        </w:tc>
        <w:tc>
          <w:tcPr>
            <w:tcW w:w="588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Kathleen A. Pighini</w:t>
            </w:r>
          </w:p>
        </w:tc>
        <w:tc>
          <w:tcPr>
            <w:tcW w:w="100" w:type="dxa"/>
            <w:vAlign w:val="bottom"/>
          </w:tcPr>
          <w:p>
            <w:pPr>
              <w:spacing w:after="0"/>
              <w:rPr>
                <w:sz w:val="24"/>
                <w:szCs w:val="24"/>
                <w:color w:val="auto"/>
              </w:rPr>
            </w:pPr>
          </w:p>
        </w:tc>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Senior Vice President, Corporate Controller and</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8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5880" w:type="dxa"/>
            <w:vAlign w:val="bottom"/>
            <w:gridSpan w:val="2"/>
            <w:vMerge w:val="restart"/>
          </w:tcPr>
          <w:p>
            <w:pPr>
              <w:ind w:left="120"/>
              <w:spacing w:after="0" w:line="176" w:lineRule="exact"/>
              <w:rPr>
                <w:sz w:val="20"/>
                <w:szCs w:val="20"/>
                <w:color w:val="auto"/>
              </w:rPr>
            </w:pPr>
            <w:r>
              <w:rPr>
                <w:rFonts w:ascii="Times New Roman" w:cs="Times New Roman" w:eastAsia="Times New Roman" w:hAnsi="Times New Roman"/>
                <w:sz w:val="18"/>
                <w:szCs w:val="18"/>
                <w:color w:val="auto"/>
              </w:rPr>
              <w:t>Chief Accounting Officer</w:t>
            </w:r>
          </w:p>
        </w:tc>
        <w:tc>
          <w:tcPr>
            <w:tcW w:w="16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8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Kathleen A. Pighini</w:t>
            </w:r>
          </w:p>
        </w:tc>
        <w:tc>
          <w:tcPr>
            <w:tcW w:w="100" w:type="dxa"/>
            <w:vAlign w:val="bottom"/>
            <w:vMerge w:val="continue"/>
          </w:tcPr>
          <w:p>
            <w:pPr>
              <w:spacing w:after="0"/>
              <w:rPr>
                <w:sz w:val="7"/>
                <w:szCs w:val="7"/>
                <w:color w:val="auto"/>
              </w:rPr>
            </w:pPr>
          </w:p>
        </w:tc>
        <w:tc>
          <w:tcPr>
            <w:tcW w:w="588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8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J. Shaw</w:t>
            </w:r>
          </w:p>
        </w:tc>
        <w:tc>
          <w:tcPr>
            <w:tcW w:w="100" w:type="dxa"/>
            <w:vAlign w:val="bottom"/>
          </w:tcPr>
          <w:p>
            <w:pPr>
              <w:spacing w:after="0"/>
              <w:rPr>
                <w:sz w:val="24"/>
                <w:szCs w:val="24"/>
                <w:color w:val="auto"/>
              </w:rPr>
            </w:pP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Chairman - Director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880" w:type="dxa"/>
            <w:vAlign w:val="bottom"/>
            <w:gridSpan w:val="2"/>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William J. Shaw</w:t>
            </w:r>
          </w:p>
        </w:tc>
        <w:tc>
          <w:tcPr>
            <w:tcW w:w="100" w:type="dxa"/>
            <w:vAlign w:val="bottom"/>
            <w:vMerge w:val="continue"/>
          </w:tcPr>
          <w:p>
            <w:pPr>
              <w:spacing w:after="0"/>
              <w:rPr>
                <w:sz w:val="7"/>
                <w:szCs w:val="7"/>
                <w:color w:val="auto"/>
              </w:rPr>
            </w:pPr>
          </w:p>
        </w:tc>
        <w:tc>
          <w:tcPr>
            <w:tcW w:w="588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C.E. Andrews</w:t>
            </w:r>
          </w:p>
        </w:tc>
        <w:tc>
          <w:tcPr>
            <w:tcW w:w="100" w:type="dxa"/>
            <w:vAlign w:val="bottom"/>
          </w:tcPr>
          <w:p>
            <w:pPr>
              <w:spacing w:after="0"/>
              <w:rPr>
                <w:sz w:val="24"/>
                <w:szCs w:val="24"/>
                <w:color w:val="auto"/>
              </w:rPr>
            </w:pP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880" w:type="dxa"/>
            <w:vAlign w:val="bottom"/>
            <w:gridSpan w:val="2"/>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C.E. Andrews</w:t>
            </w:r>
          </w:p>
        </w:tc>
        <w:tc>
          <w:tcPr>
            <w:tcW w:w="100" w:type="dxa"/>
            <w:vAlign w:val="bottom"/>
            <w:vMerge w:val="continue"/>
          </w:tcPr>
          <w:p>
            <w:pPr>
              <w:spacing w:after="0"/>
              <w:rPr>
                <w:sz w:val="7"/>
                <w:szCs w:val="7"/>
                <w:color w:val="auto"/>
              </w:rPr>
            </w:pPr>
          </w:p>
        </w:tc>
        <w:tc>
          <w:tcPr>
            <w:tcW w:w="588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Christian A. Asmar</w:t>
            </w:r>
          </w:p>
        </w:tc>
        <w:tc>
          <w:tcPr>
            <w:tcW w:w="100" w:type="dxa"/>
            <w:vAlign w:val="bottom"/>
          </w:tcPr>
          <w:p>
            <w:pPr>
              <w:spacing w:after="0"/>
              <w:rPr>
                <w:sz w:val="24"/>
                <w:szCs w:val="24"/>
                <w:color w:val="auto"/>
              </w:rPr>
            </w:pP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880" w:type="dxa"/>
            <w:vAlign w:val="bottom"/>
            <w:gridSpan w:val="2"/>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Christian A. Asmar</w:t>
            </w:r>
          </w:p>
        </w:tc>
        <w:tc>
          <w:tcPr>
            <w:tcW w:w="100" w:type="dxa"/>
            <w:vAlign w:val="bottom"/>
            <w:vMerge w:val="continue"/>
          </w:tcPr>
          <w:p>
            <w:pPr>
              <w:spacing w:after="0"/>
              <w:rPr>
                <w:sz w:val="8"/>
                <w:szCs w:val="8"/>
                <w:color w:val="auto"/>
              </w:rPr>
            </w:pPr>
          </w:p>
        </w:tc>
        <w:tc>
          <w:tcPr>
            <w:tcW w:w="5880" w:type="dxa"/>
            <w:vAlign w:val="bottom"/>
            <w:gridSpan w:val="2"/>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A. Dausch</w:t>
            </w:r>
          </w:p>
        </w:tc>
        <w:tc>
          <w:tcPr>
            <w:tcW w:w="100" w:type="dxa"/>
            <w:vAlign w:val="bottom"/>
          </w:tcPr>
          <w:p>
            <w:pPr>
              <w:spacing w:after="0"/>
              <w:rPr>
                <w:sz w:val="24"/>
                <w:szCs w:val="24"/>
                <w:color w:val="auto"/>
              </w:rPr>
            </w:pP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40"/>
        </w:trPr>
        <w:tc>
          <w:tcPr>
            <w:tcW w:w="34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88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James A. Dausch</w:t>
            </w:r>
          </w:p>
        </w:tc>
        <w:tc>
          <w:tcPr>
            <w:tcW w:w="100" w:type="dxa"/>
            <w:vAlign w:val="bottom"/>
            <w:vMerge w:val="continue"/>
          </w:tcPr>
          <w:p>
            <w:pPr>
              <w:spacing w:after="0"/>
              <w:rPr>
                <w:sz w:val="7"/>
                <w:szCs w:val="7"/>
                <w:color w:val="auto"/>
              </w:rPr>
            </w:pPr>
          </w:p>
        </w:tc>
        <w:tc>
          <w:tcPr>
            <w:tcW w:w="588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Lizanne Galbreath</w:t>
            </w:r>
          </w:p>
        </w:tc>
        <w:tc>
          <w:tcPr>
            <w:tcW w:w="100" w:type="dxa"/>
            <w:vAlign w:val="bottom"/>
          </w:tcPr>
          <w:p>
            <w:pPr>
              <w:spacing w:after="0"/>
              <w:rPr>
                <w:sz w:val="24"/>
                <w:szCs w:val="24"/>
                <w:color w:val="auto"/>
              </w:rPr>
            </w:pP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40"/>
        </w:trPr>
        <w:tc>
          <w:tcPr>
            <w:tcW w:w="34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880" w:type="dxa"/>
            <w:vAlign w:val="bottom"/>
            <w:gridSpan w:val="2"/>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Lizanne Galbreath</w:t>
            </w:r>
          </w:p>
        </w:tc>
        <w:tc>
          <w:tcPr>
            <w:tcW w:w="100" w:type="dxa"/>
            <w:vAlign w:val="bottom"/>
            <w:vMerge w:val="continue"/>
          </w:tcPr>
          <w:p>
            <w:pPr>
              <w:spacing w:after="0"/>
              <w:rPr>
                <w:sz w:val="7"/>
                <w:szCs w:val="7"/>
                <w:color w:val="auto"/>
              </w:rPr>
            </w:pPr>
          </w:p>
        </w:tc>
        <w:tc>
          <w:tcPr>
            <w:tcW w:w="588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Jonice M. Gray</w:t>
            </w:r>
          </w:p>
        </w:tc>
        <w:tc>
          <w:tcPr>
            <w:tcW w:w="100" w:type="dxa"/>
            <w:vAlign w:val="bottom"/>
          </w:tcPr>
          <w:p>
            <w:pPr>
              <w:spacing w:after="0"/>
              <w:rPr>
                <w:sz w:val="24"/>
                <w:szCs w:val="24"/>
                <w:color w:val="auto"/>
              </w:rPr>
            </w:pP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880" w:type="dxa"/>
            <w:vAlign w:val="bottom"/>
            <w:gridSpan w:val="2"/>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Jonice M. Gray</w:t>
            </w:r>
          </w:p>
        </w:tc>
        <w:tc>
          <w:tcPr>
            <w:tcW w:w="100" w:type="dxa"/>
            <w:vAlign w:val="bottom"/>
            <w:vMerge w:val="continue"/>
          </w:tcPr>
          <w:p>
            <w:pPr>
              <w:spacing w:after="0"/>
              <w:rPr>
                <w:sz w:val="7"/>
                <w:szCs w:val="7"/>
                <w:color w:val="auto"/>
              </w:rPr>
            </w:pPr>
          </w:p>
        </w:tc>
        <w:tc>
          <w:tcPr>
            <w:tcW w:w="588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ectPr>
          <w:pgSz w:w="11900" w:h="16838" w:orient="portrait"/>
          <w:cols w:equalWidth="0" w:num="1">
            <w:col w:w="11240"/>
          </w:cols>
          <w:pgMar w:left="320" w:top="1089"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48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58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Dianna F. Morgan</w:t>
            </w:r>
          </w:p>
        </w:tc>
        <w:tc>
          <w:tcPr>
            <w:tcW w:w="100" w:type="dxa"/>
            <w:vAlign w:val="bottom"/>
          </w:tcPr>
          <w:p>
            <w:pPr>
              <w:spacing w:after="0"/>
              <w:rPr>
                <w:sz w:val="24"/>
                <w:szCs w:val="24"/>
                <w:color w:val="auto"/>
              </w:rPr>
            </w:pP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880" w:type="dxa"/>
            <w:vAlign w:val="bottom"/>
            <w:gridSpan w:val="2"/>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Dianna F. Morgan</w:t>
            </w:r>
          </w:p>
        </w:tc>
        <w:tc>
          <w:tcPr>
            <w:tcW w:w="100" w:type="dxa"/>
            <w:vAlign w:val="bottom"/>
            <w:vMerge w:val="continue"/>
          </w:tcPr>
          <w:p>
            <w:pPr>
              <w:spacing w:after="0"/>
              <w:rPr>
                <w:sz w:val="7"/>
                <w:szCs w:val="7"/>
                <w:color w:val="auto"/>
              </w:rPr>
            </w:pPr>
          </w:p>
        </w:tc>
        <w:tc>
          <w:tcPr>
            <w:tcW w:w="588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R. Quazzo</w:t>
            </w:r>
          </w:p>
        </w:tc>
        <w:tc>
          <w:tcPr>
            <w:tcW w:w="100" w:type="dxa"/>
            <w:vAlign w:val="bottom"/>
          </w:tcPr>
          <w:p>
            <w:pPr>
              <w:spacing w:after="0"/>
              <w:rPr>
                <w:sz w:val="24"/>
                <w:szCs w:val="24"/>
                <w:color w:val="auto"/>
              </w:rPr>
            </w:pPr>
          </w:p>
        </w:tc>
        <w:tc>
          <w:tcPr>
            <w:tcW w:w="5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880" w:type="dxa"/>
            <w:vAlign w:val="bottom"/>
            <w:gridSpan w:val="2"/>
            <w:vMerge w:val="continue"/>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Stephen R. Quazzo</w:t>
            </w:r>
          </w:p>
        </w:tc>
        <w:tc>
          <w:tcPr>
            <w:tcW w:w="100" w:type="dxa"/>
            <w:vAlign w:val="bottom"/>
            <w:vMerge w:val="continue"/>
          </w:tcPr>
          <w:p>
            <w:pPr>
              <w:spacing w:after="0"/>
              <w:rPr>
                <w:sz w:val="7"/>
                <w:szCs w:val="7"/>
                <w:color w:val="auto"/>
              </w:rPr>
            </w:pPr>
          </w:p>
        </w:tc>
        <w:tc>
          <w:tcPr>
            <w:tcW w:w="588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40"/>
          </w:cols>
          <w:pgMar w:left="320" w:top="1130" w:right="439" w:bottom="1440" w:gutter="0" w:footer="0" w:header="0"/>
        </w:sectPr>
      </w:pPr>
    </w:p>
    <w:bookmarkStart w:id="4" w:name="page5"/>
    <w:bookmarkEnd w:id="4"/>
    <w:p>
      <w:pPr>
        <w:ind w:left="9580"/>
        <w:spacing w:after="0"/>
        <w:rPr>
          <w:sz w:val="20"/>
          <w:szCs w:val="20"/>
          <w:color w:val="auto"/>
        </w:rPr>
      </w:pPr>
      <w:r>
        <w:rPr>
          <w:rFonts w:ascii="Times New Roman" w:cs="Times New Roman" w:eastAsia="Times New Roman" w:hAnsi="Times New Roman"/>
          <w:sz w:val="19"/>
          <w:szCs w:val="19"/>
          <w:b w:val="1"/>
          <w:bCs w:val="1"/>
          <w:color w:val="auto"/>
        </w:rPr>
        <w:t>Exhibit 107</w:t>
      </w:r>
    </w:p>
    <w:p>
      <w:pPr>
        <w:spacing w:after="0" w:line="18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5"/>
          <w:szCs w:val="25"/>
          <w:b w:val="1"/>
          <w:bCs w:val="1"/>
          <w:color w:val="auto"/>
        </w:rPr>
        <w:t>Calculation of Filing Fee Table</w:t>
      </w:r>
    </w:p>
    <w:p>
      <w:pPr>
        <w:spacing w:after="0" w:line="3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b w:val="1"/>
          <w:bCs w:val="1"/>
          <w:color w:val="auto"/>
        </w:rPr>
        <w:t>FORM S-8</w:t>
      </w:r>
    </w:p>
    <w:p>
      <w:pPr>
        <w:spacing w:after="0" w:line="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spacing w:after="0" w:line="1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UNDER</w:t>
      </w:r>
    </w:p>
    <w:p>
      <w:pPr>
        <w:spacing w:after="0" w:line="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127000</wp:posOffset>
            </wp:positionV>
            <wp:extent cx="1945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4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Aggregate</w:t>
            </w:r>
          </w:p>
        </w:tc>
        <w:tc>
          <w:tcPr>
            <w:tcW w:w="104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93"/>
        </w:trPr>
        <w:tc>
          <w:tcPr>
            <w:tcW w:w="800" w:type="dxa"/>
            <w:vAlign w:val="bottom"/>
            <w:tcBorders>
              <w:left w:val="single" w:sz="8" w:color="auto"/>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40" w:type="dxa"/>
            <w:vAlign w:val="bottom"/>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 Per</w:t>
            </w:r>
          </w:p>
        </w:tc>
        <w:tc>
          <w:tcPr>
            <w:tcW w:w="180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2"/>
              </w:rPr>
              <w:t>Type</w:t>
            </w:r>
          </w:p>
        </w:tc>
        <w:tc>
          <w:tcPr>
            <w:tcW w:w="10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rPr>
              <w:t>Class Title</w:t>
            </w:r>
          </w:p>
        </w:tc>
        <w:tc>
          <w:tcPr>
            <w:tcW w:w="112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Registered</w:t>
            </w:r>
            <w:r>
              <w:rPr>
                <w:rFonts w:ascii="Times New Roman" w:cs="Times New Roman" w:eastAsia="Times New Roman" w:hAnsi="Times New Roman"/>
                <w:sz w:val="21"/>
                <w:szCs w:val="21"/>
                <w:b w:val="1"/>
                <w:bCs w:val="1"/>
                <w:color w:val="auto"/>
                <w:vertAlign w:val="superscript"/>
              </w:rPr>
              <w:t>(1)</w:t>
            </w:r>
          </w:p>
        </w:tc>
        <w:tc>
          <w:tcPr>
            <w:tcW w:w="1860" w:type="dxa"/>
            <w:vAlign w:val="bottom"/>
            <w:tcBorders>
              <w:right w:val="single" w:sz="8" w:color="auto"/>
            </w:tcBorders>
            <w:vMerge w:val="continue"/>
          </w:tcPr>
          <w:p>
            <w:pPr>
              <w:spacing w:after="0"/>
              <w:rPr>
                <w:sz w:val="16"/>
                <w:szCs w:val="16"/>
                <w:color w:val="auto"/>
              </w:rPr>
            </w:pPr>
          </w:p>
        </w:tc>
        <w:tc>
          <w:tcPr>
            <w:tcW w:w="180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Offering Price</w:t>
            </w:r>
            <w:r>
              <w:rPr>
                <w:rFonts w:ascii="Times New Roman" w:cs="Times New Roman" w:eastAsia="Times New Roman" w:hAnsi="Times New Roman"/>
                <w:sz w:val="21"/>
                <w:szCs w:val="21"/>
                <w:b w:val="1"/>
                <w:bCs w:val="1"/>
                <w:color w:val="auto"/>
                <w:vertAlign w:val="superscript"/>
              </w:rPr>
              <w:t>(2)</w:t>
            </w:r>
          </w:p>
        </w:tc>
        <w:tc>
          <w:tcPr>
            <w:tcW w:w="1040" w:type="dxa"/>
            <w:vAlign w:val="bottom"/>
            <w:tcBorders>
              <w:right w:val="single" w:sz="8" w:color="auto"/>
            </w:tcBorders>
            <w:vMerge w:val="continue"/>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Borders>
              <w:left w:val="single" w:sz="8" w:color="auto"/>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Rule</w:t>
            </w:r>
          </w:p>
        </w:tc>
        <w:tc>
          <w:tcPr>
            <w:tcW w:w="4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b w:val="1"/>
                <w:bCs w:val="1"/>
                <w:color w:val="auto"/>
                <w:w w:val="98"/>
              </w:rPr>
              <w:t>Unit</w:t>
            </w:r>
            <w:r>
              <w:rPr>
                <w:rFonts w:ascii="Times New Roman" w:cs="Times New Roman" w:eastAsia="Times New Roman" w:hAnsi="Times New Roman"/>
                <w:sz w:val="21"/>
                <w:szCs w:val="21"/>
                <w:b w:val="1"/>
                <w:bCs w:val="1"/>
                <w:color w:val="auto"/>
                <w:w w:val="98"/>
                <w:vertAlign w:val="superscript"/>
              </w:rPr>
              <w:t>(2)</w:t>
            </w:r>
          </w:p>
        </w:tc>
        <w:tc>
          <w:tcPr>
            <w:tcW w:w="180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218"/>
        </w:trPr>
        <w:tc>
          <w:tcPr>
            <w:tcW w:w="80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40" w:type="dxa"/>
            <w:vAlign w:val="bottom"/>
          </w:tcPr>
          <w:p>
            <w:pPr>
              <w:spacing w:after="0"/>
              <w:rPr>
                <w:sz w:val="18"/>
                <w:szCs w:val="18"/>
                <w:color w:val="auto"/>
              </w:rPr>
            </w:pPr>
          </w:p>
        </w:tc>
        <w:tc>
          <w:tcPr>
            <w:tcW w:w="1080" w:type="dxa"/>
            <w:vAlign w:val="bottom"/>
            <w:tcBorders>
              <w:right w:val="single" w:sz="8" w:color="auto"/>
            </w:tcBorders>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rPr>
              <w:t>2,500,000</w:t>
            </w:r>
            <w:r>
              <w:rPr>
                <w:rFonts w:ascii="Times New Roman" w:cs="Times New Roman" w:eastAsia="Times New Roman" w:hAnsi="Times New Roman"/>
                <w:sz w:val="23"/>
                <w:szCs w:val="23"/>
                <w:color w:val="auto"/>
                <w:vertAlign w:val="superscript"/>
              </w:rPr>
              <w:t>(3)</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$71.11</w:t>
            </w:r>
            <w:r>
              <w:rPr>
                <w:rFonts w:ascii="Times New Roman" w:cs="Times New Roman" w:eastAsia="Times New Roman" w:hAnsi="Times New Roman"/>
                <w:sz w:val="23"/>
                <w:szCs w:val="23"/>
                <w:color w:val="auto"/>
                <w:w w:val="91"/>
                <w:vertAlign w:val="superscript"/>
              </w:rPr>
              <w:t>(2)</w:t>
            </w:r>
          </w:p>
        </w:tc>
        <w:tc>
          <w:tcPr>
            <w:tcW w:w="1800" w:type="dxa"/>
            <w:vAlign w:val="bottom"/>
            <w:tcBorders>
              <w:right w:val="single" w:sz="8" w:color="auto"/>
            </w:tcBorders>
            <w:vMerge w:val="restart"/>
          </w:tcPr>
          <w:p>
            <w:pPr>
              <w:jc w:val="center"/>
              <w:ind w:right="232"/>
              <w:spacing w:after="0"/>
              <w:rPr>
                <w:sz w:val="20"/>
                <w:szCs w:val="20"/>
                <w:color w:val="auto"/>
              </w:rPr>
            </w:pPr>
            <w:r>
              <w:rPr>
                <w:rFonts w:ascii="Times New Roman" w:cs="Times New Roman" w:eastAsia="Times New Roman" w:hAnsi="Times New Roman"/>
                <w:sz w:val="18"/>
                <w:szCs w:val="18"/>
                <w:color w:val="auto"/>
              </w:rPr>
              <w:t>$177,775,000</w:t>
            </w:r>
            <w:r>
              <w:rPr>
                <w:rFonts w:ascii="Times New Roman" w:cs="Times New Roman" w:eastAsia="Times New Roman" w:hAnsi="Times New Roman"/>
                <w:sz w:val="23"/>
                <w:szCs w:val="23"/>
                <w:color w:val="auto"/>
                <w:vertAlign w:val="superscript"/>
              </w:rPr>
              <w:t>(2)</w:t>
            </w:r>
          </w:p>
        </w:tc>
        <w:tc>
          <w:tcPr>
            <w:tcW w:w="10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0.00013810</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$24,551</w:t>
            </w:r>
          </w:p>
        </w:tc>
        <w:tc>
          <w:tcPr>
            <w:tcW w:w="0" w:type="dxa"/>
            <w:vAlign w:val="bottom"/>
          </w:tcPr>
          <w:p>
            <w:pPr>
              <w:spacing w:after="0"/>
              <w:rPr>
                <w:sz w:val="1"/>
                <w:szCs w:val="1"/>
                <w:color w:val="auto"/>
              </w:rPr>
            </w:pPr>
          </w:p>
        </w:tc>
      </w:tr>
      <w:tr>
        <w:trPr>
          <w:trHeight w:val="180"/>
        </w:trPr>
        <w:tc>
          <w:tcPr>
            <w:tcW w:w="800" w:type="dxa"/>
            <w:vAlign w:val="bottom"/>
            <w:tcBorders>
              <w:left w:val="single" w:sz="8" w:color="auto"/>
              <w:right w:val="single" w:sz="8" w:color="auto"/>
            </w:tcBorders>
            <w:vMerge w:val="continue"/>
          </w:tcPr>
          <w:p>
            <w:pPr>
              <w:spacing w:after="0"/>
              <w:rPr>
                <w:sz w:val="15"/>
                <w:szCs w:val="15"/>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value $0.01</w:t>
            </w:r>
          </w:p>
        </w:tc>
        <w:tc>
          <w:tcPr>
            <w:tcW w:w="11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1800" w:type="dxa"/>
            <w:vAlign w:val="bottom"/>
            <w:tcBorders>
              <w:right w:val="single" w:sz="8" w:color="auto"/>
            </w:tcBorders>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800" w:type="dxa"/>
            <w:vAlign w:val="bottom"/>
            <w:tcBorders>
              <w:left w:val="single" w:sz="8" w:color="auto"/>
              <w:right w:val="single" w:sz="8" w:color="auto"/>
            </w:tcBorders>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1860" w:type="dxa"/>
            <w:vAlign w:val="bottom"/>
            <w:tcBorders>
              <w:right w:val="single" w:sz="8" w:color="auto"/>
            </w:tcBorders>
          </w:tcPr>
          <w:p>
            <w:pPr>
              <w:spacing w:after="0"/>
              <w:rPr>
                <w:sz w:val="3"/>
                <w:szCs w:val="3"/>
                <w:color w:val="auto"/>
              </w:rPr>
            </w:pPr>
          </w:p>
        </w:tc>
        <w:tc>
          <w:tcPr>
            <w:tcW w:w="180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21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0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$177,775,000</w:t>
            </w:r>
          </w:p>
        </w:tc>
        <w:tc>
          <w:tcPr>
            <w:tcW w:w="10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$24,551</w:t>
            </w:r>
          </w:p>
        </w:tc>
        <w:tc>
          <w:tcPr>
            <w:tcW w:w="0" w:type="dxa"/>
            <w:vAlign w:val="bottom"/>
          </w:tcPr>
          <w:p>
            <w:pPr>
              <w:spacing w:after="0"/>
              <w:rPr>
                <w:sz w:val="1"/>
                <w:szCs w:val="1"/>
                <w:color w:val="auto"/>
              </w:rPr>
            </w:pP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21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tcBorders>
              <w:left w:val="single" w:sz="8" w:color="auto"/>
            </w:tcBorders>
          </w:tcPr>
          <w:p>
            <w:pPr>
              <w:spacing w:after="0"/>
              <w:rPr>
                <w:sz w:val="20"/>
                <w:szCs w:val="20"/>
                <w:color w:val="auto"/>
              </w:rPr>
            </w:pPr>
          </w:p>
        </w:tc>
        <w:tc>
          <w:tcPr>
            <w:tcW w:w="21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$24,551</w:t>
            </w:r>
          </w:p>
        </w:tc>
        <w:tc>
          <w:tcPr>
            <w:tcW w:w="0" w:type="dxa"/>
            <w:vAlign w:val="bottom"/>
          </w:tcPr>
          <w:p>
            <w:pPr>
              <w:spacing w:after="0"/>
              <w:rPr>
                <w:sz w:val="1"/>
                <w:szCs w:val="1"/>
                <w:color w:val="auto"/>
              </w:rPr>
            </w:pPr>
          </w:p>
        </w:tc>
      </w:tr>
      <w:tr>
        <w:trPr>
          <w:trHeight w:val="27"/>
        </w:trPr>
        <w:tc>
          <w:tcPr>
            <w:tcW w:w="800" w:type="dxa"/>
            <w:vAlign w:val="bottom"/>
            <w:tcBorders>
              <w:left w:val="single" w:sz="8" w:color="auto"/>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800" w:right="720" w:hanging="510"/>
        <w:spacing w:after="0" w:line="261" w:lineRule="auto"/>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this Registration Statement shall also cover any additional shares of common stock of Marriott Vacations Worldwide Corporation (the “Registrant”) that become issuable under the Marriott Vacations Worldwide Corporation 2020 Equity Incentive Plan (the “Plan”) in accordance with the adjustment and anti-dilution provisions of the Plan.</w:t>
      </w:r>
    </w:p>
    <w:p>
      <w:pPr>
        <w:spacing w:after="0" w:line="71" w:lineRule="exact"/>
        <w:rPr>
          <w:rFonts w:ascii="Times New Roman" w:cs="Times New Roman" w:eastAsia="Times New Roman" w:hAnsi="Times New Roman"/>
          <w:sz w:val="18"/>
          <w:szCs w:val="18"/>
          <w:color w:val="auto"/>
        </w:rPr>
      </w:pPr>
    </w:p>
    <w:p>
      <w:pPr>
        <w:jc w:val="both"/>
        <w:ind w:left="800" w:right="800" w:hanging="510"/>
        <w:spacing w:after="0" w:line="266" w:lineRule="auto"/>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Rule 457(h) solely for the purpose of calculating the registration fee based on a per share price of $71.11, the average of the high and low price per share of the Registrant’s common stock as reported on the New York Stock Exchange on May 15, 2026.</w:t>
      </w:r>
    </w:p>
    <w:p>
      <w:pPr>
        <w:spacing w:after="0" w:line="67" w:lineRule="exact"/>
        <w:rPr>
          <w:rFonts w:ascii="Times New Roman" w:cs="Times New Roman" w:eastAsia="Times New Roman" w:hAnsi="Times New Roman"/>
          <w:sz w:val="18"/>
          <w:szCs w:val="18"/>
          <w:color w:val="auto"/>
        </w:rPr>
      </w:pPr>
    </w:p>
    <w:p>
      <w:pPr>
        <w:ind w:left="800" w:hanging="510"/>
        <w:spacing w:after="0"/>
        <w:tabs>
          <w:tab w:leader="none" w:pos="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2,500,000 shares of the Registrant’s common stock issuable under the Plan.</w:t>
      </w:r>
    </w:p>
    <w:p>
      <w:pPr>
        <w:spacing w:after="0" w:line="38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u w:val="single" w:color="auto"/>
          <w:color w:val="auto"/>
        </w:rPr>
        <w:t>Table 2: Fee Offset Claims and Sources</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Not applicable</w:t>
            </w:r>
          </w:p>
        </w:tc>
        <w:tc>
          <w:tcPr>
            <w:tcW w:w="0" w:type="dxa"/>
            <w:vAlign w:val="bottom"/>
          </w:tcPr>
          <w:p>
            <w:pPr>
              <w:spacing w:after="0"/>
              <w:rPr>
                <w:sz w:val="1"/>
                <w:szCs w:val="1"/>
                <w:color w:val="auto"/>
              </w:rPr>
            </w:pPr>
          </w:p>
        </w:tc>
      </w:tr>
      <w:tr>
        <w:trPr>
          <w:trHeight w:val="161"/>
        </w:trPr>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20" w:type="dxa"/>
            <w:vAlign w:val="bottom"/>
            <w:tcBorders>
              <w:left w:val="single" w:sz="8" w:color="auto"/>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right w:val="single" w:sz="8" w:color="auto"/>
            </w:tcBorders>
            <w:vMerge w:val="restart"/>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96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Unsold</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20" w:type="dxa"/>
            <w:vAlign w:val="bottom"/>
            <w:tcBorders>
              <w:left w:val="single" w:sz="8" w:color="auto"/>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960" w:type="dxa"/>
            <w:vAlign w:val="bottom"/>
            <w:tcBorders>
              <w:right w:val="single" w:sz="8" w:color="auto"/>
            </w:tcBorders>
            <w:vMerge w:val="continue"/>
          </w:tcPr>
          <w:p>
            <w:pPr>
              <w:spacing w:after="0"/>
              <w:rPr>
                <w:sz w:val="16"/>
                <w:szCs w:val="16"/>
                <w:color w:val="auto"/>
              </w:rPr>
            </w:pPr>
          </w:p>
        </w:tc>
        <w:tc>
          <w:tcPr>
            <w:tcW w:w="9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700" w:type="dxa"/>
            <w:vAlign w:val="bottom"/>
            <w:tcBorders>
              <w:right w:val="single" w:sz="8" w:color="auto"/>
            </w:tcBorders>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20" w:type="dxa"/>
            <w:vAlign w:val="bottom"/>
            <w:tcBorders>
              <w:left w:val="single" w:sz="8" w:color="auto"/>
              <w:right w:val="single" w:sz="8" w:color="auto"/>
            </w:tcBorders>
          </w:tcPr>
          <w:p>
            <w:pPr>
              <w:spacing w:after="0"/>
              <w:rPr>
                <w:sz w:val="22"/>
                <w:szCs w:val="22"/>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File</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8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60" w:type="dxa"/>
            <w:vAlign w:val="bottom"/>
          </w:tcPr>
          <w:p>
            <w:pPr>
              <w:spacing w:after="0"/>
              <w:rPr>
                <w:sz w:val="22"/>
                <w:szCs w:val="22"/>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Paid</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920" w:type="dxa"/>
            <w:vAlign w:val="bottom"/>
            <w:tcBorders>
              <w:left w:val="single" w:sz="8" w:color="auto"/>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or Filer</w:t>
            </w:r>
          </w:p>
        </w:tc>
        <w:tc>
          <w:tcPr>
            <w:tcW w:w="6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3"/>
              </w:rPr>
              <w:t>or</w:t>
            </w:r>
          </w:p>
        </w:tc>
        <w:tc>
          <w:tcPr>
            <w:tcW w:w="780" w:type="dxa"/>
            <w:vAlign w:val="bottom"/>
            <w:tcBorders>
              <w:right w:val="single" w:sz="8" w:color="auto"/>
            </w:tcBorders>
            <w:vMerge w:val="continue"/>
          </w:tcPr>
          <w:p>
            <w:pPr>
              <w:spacing w:after="0"/>
              <w:rPr>
                <w:sz w:val="16"/>
                <w:szCs w:val="16"/>
                <w:color w:val="auto"/>
              </w:rPr>
            </w:pPr>
          </w:p>
        </w:tc>
        <w:tc>
          <w:tcPr>
            <w:tcW w:w="6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Filing</w:t>
            </w:r>
          </w:p>
        </w:tc>
        <w:tc>
          <w:tcPr>
            <w:tcW w:w="540" w:type="dxa"/>
            <w:vAlign w:val="bottom"/>
            <w:vMerge w:val="continue"/>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Offset</w:t>
            </w:r>
          </w:p>
        </w:tc>
        <w:tc>
          <w:tcPr>
            <w:tcW w:w="60" w:type="dxa"/>
            <w:vAlign w:val="bottom"/>
          </w:tcPr>
          <w:p>
            <w:pPr>
              <w:spacing w:after="0"/>
              <w:rPr>
                <w:sz w:val="16"/>
                <w:szCs w:val="16"/>
                <w:color w:val="auto"/>
              </w:rPr>
            </w:pPr>
          </w:p>
        </w:tc>
        <w:tc>
          <w:tcPr>
            <w:tcW w:w="9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Associated</w:t>
            </w:r>
          </w:p>
        </w:tc>
        <w:tc>
          <w:tcPr>
            <w:tcW w:w="9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Associated</w:t>
            </w:r>
          </w:p>
        </w:tc>
        <w:tc>
          <w:tcPr>
            <w:tcW w:w="9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Associated</w:t>
            </w:r>
          </w:p>
        </w:tc>
        <w:tc>
          <w:tcPr>
            <w:tcW w:w="9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7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with</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920" w:type="dxa"/>
            <w:vAlign w:val="bottom"/>
            <w:tcBorders>
              <w:left w:val="single" w:sz="8" w:color="auto"/>
              <w:right w:val="single" w:sz="8" w:color="auto"/>
            </w:tcBorders>
          </w:tcPr>
          <w:p>
            <w:pPr>
              <w:spacing w:after="0"/>
              <w:rPr>
                <w:sz w:val="8"/>
                <w:szCs w:val="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Filing</w:t>
            </w:r>
          </w:p>
        </w:tc>
        <w:tc>
          <w:tcPr>
            <w:tcW w:w="78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Number</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54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Date</w:t>
            </w:r>
          </w:p>
        </w:tc>
        <w:tc>
          <w:tcPr>
            <w:tcW w:w="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60" w:type="dxa"/>
            <w:vAlign w:val="bottom"/>
          </w:tcPr>
          <w:p>
            <w:pPr>
              <w:spacing w:after="0"/>
              <w:rPr>
                <w:sz w:val="8"/>
                <w:szCs w:val="8"/>
                <w:color w:val="auto"/>
              </w:rPr>
            </w:pPr>
          </w:p>
        </w:tc>
        <w:tc>
          <w:tcPr>
            <w:tcW w:w="90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with Fee</w:t>
            </w:r>
          </w:p>
        </w:tc>
        <w:tc>
          <w:tcPr>
            <w:tcW w:w="98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with Fee</w:t>
            </w:r>
          </w:p>
        </w:tc>
        <w:tc>
          <w:tcPr>
            <w:tcW w:w="96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with Fee</w:t>
            </w:r>
          </w:p>
        </w:tc>
        <w:tc>
          <w:tcPr>
            <w:tcW w:w="96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Associated</w:t>
            </w:r>
          </w:p>
        </w:tc>
        <w:tc>
          <w:tcPr>
            <w:tcW w:w="70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Fee</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92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Type</w:t>
            </w:r>
          </w:p>
        </w:tc>
        <w:tc>
          <w:tcPr>
            <w:tcW w:w="78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Offset</w:t>
            </w:r>
          </w:p>
        </w:tc>
        <w:tc>
          <w:tcPr>
            <w:tcW w:w="98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Offset</w:t>
            </w:r>
          </w:p>
        </w:tc>
        <w:tc>
          <w:tcPr>
            <w:tcW w:w="96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Offset</w:t>
            </w:r>
          </w:p>
        </w:tc>
        <w:tc>
          <w:tcPr>
            <w:tcW w:w="96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with Fee</w:t>
            </w:r>
          </w:p>
        </w:tc>
        <w:tc>
          <w:tcPr>
            <w:tcW w:w="7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Offset</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920" w:type="dxa"/>
            <w:vAlign w:val="bottom"/>
            <w:tcBorders>
              <w:left w:val="single" w:sz="8" w:color="auto"/>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660" w:type="dxa"/>
            <w:vAlign w:val="bottom"/>
            <w:tcBorders>
              <w:right w:val="single" w:sz="8" w:color="auto"/>
            </w:tcBorders>
            <w:vMerge w:val="continue"/>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right w:val="single" w:sz="8" w:color="auto"/>
            </w:tcBorders>
            <w:vMerge w:val="continue"/>
          </w:tcPr>
          <w:p>
            <w:pPr>
              <w:spacing w:after="0"/>
              <w:rPr>
                <w:sz w:val="2"/>
                <w:szCs w:val="2"/>
                <w:color w:val="auto"/>
              </w:rPr>
            </w:pPr>
          </w:p>
        </w:tc>
        <w:tc>
          <w:tcPr>
            <w:tcW w:w="980" w:type="dxa"/>
            <w:vAlign w:val="bottom"/>
            <w:tcBorders>
              <w:right w:val="single" w:sz="8" w:color="auto"/>
            </w:tcBorders>
            <w:vMerge w:val="continue"/>
          </w:tcPr>
          <w:p>
            <w:pPr>
              <w:spacing w:after="0"/>
              <w:rPr>
                <w:sz w:val="2"/>
                <w:szCs w:val="2"/>
                <w:color w:val="auto"/>
              </w:rPr>
            </w:pPr>
          </w:p>
        </w:tc>
        <w:tc>
          <w:tcPr>
            <w:tcW w:w="960" w:type="dxa"/>
            <w:vAlign w:val="bottom"/>
            <w:tcBorders>
              <w:right w:val="single" w:sz="8" w:color="auto"/>
            </w:tcBorders>
            <w:vMerge w:val="continue"/>
          </w:tcPr>
          <w:p>
            <w:pPr>
              <w:spacing w:after="0"/>
              <w:rPr>
                <w:sz w:val="2"/>
                <w:szCs w:val="2"/>
                <w:color w:val="auto"/>
              </w:rPr>
            </w:pPr>
          </w:p>
        </w:tc>
        <w:tc>
          <w:tcPr>
            <w:tcW w:w="960" w:type="dxa"/>
            <w:vAlign w:val="bottom"/>
            <w:tcBorders>
              <w:right w:val="single" w:sz="8" w:color="auto"/>
            </w:tcBorders>
            <w:vMerge w:val="continue"/>
          </w:tcPr>
          <w:p>
            <w:pPr>
              <w:spacing w:after="0"/>
              <w:rPr>
                <w:sz w:val="2"/>
                <w:szCs w:val="2"/>
                <w:color w:val="auto"/>
              </w:rPr>
            </w:pPr>
          </w:p>
        </w:tc>
        <w:tc>
          <w:tcPr>
            <w:tcW w:w="700" w:type="dxa"/>
            <w:vAlign w:val="bottom"/>
            <w:tcBorders>
              <w:right w:val="single" w:sz="8" w:color="auto"/>
            </w:tcBorders>
            <w:vMerge w:val="continue"/>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920" w:type="dxa"/>
            <w:vAlign w:val="bottom"/>
            <w:tcBorders>
              <w:left w:val="single" w:sz="8" w:color="auto"/>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Claimed</w:t>
            </w:r>
          </w:p>
        </w:tc>
        <w:tc>
          <w:tcPr>
            <w:tcW w:w="98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Claimed</w:t>
            </w:r>
          </w:p>
        </w:tc>
        <w:tc>
          <w:tcPr>
            <w:tcW w:w="9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Claimed</w:t>
            </w:r>
          </w:p>
        </w:tc>
        <w:tc>
          <w:tcPr>
            <w:tcW w:w="96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Offset</w:t>
            </w:r>
          </w:p>
        </w:tc>
        <w:tc>
          <w:tcPr>
            <w:tcW w:w="7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Source</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20" w:type="dxa"/>
            <w:vAlign w:val="bottom"/>
            <w:tcBorders>
              <w:left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Rule 457(p)</w:t>
            </w:r>
          </w:p>
        </w:tc>
        <w:tc>
          <w:tcPr>
            <w:tcW w:w="9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Fee Offset</w:t>
            </w:r>
          </w:p>
        </w:tc>
        <w:tc>
          <w:tcPr>
            <w:tcW w:w="9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Claims</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Fee Offset</w:t>
            </w:r>
          </w:p>
        </w:tc>
        <w:tc>
          <w:tcPr>
            <w:tcW w:w="9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Sources</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1000" w:top="124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553720</wp:posOffset>
            </wp:positionV>
            <wp:extent cx="1362710" cy="574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62710" cy="57404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476250</wp:posOffset>
            </wp:positionV>
            <wp:extent cx="120015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001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May 19,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Marriott Vacations Worldwide Corporation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7812 Palm Parkway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Orlando, Florida 32836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3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1"/>
          <w:szCs w:val="21"/>
          <w:color w:val="auto"/>
        </w:rPr>
        <w:t>We have acted as counsel for Marriott Vacations Worldwide Corporation, a Delaware corporation (the “Company”), in conjunction with the preparation of a Registration Statement on Form S-8 (the “Registration Statement”) to be filed by the Company with the Securities and Exchange Commission under the Securities Act of 1933, as amended (the “Securities Act”), relating to the 2,500,000 additional shares (the “Registered Shares”) of the Company’s common stock, par value $0.01 per share (the “Common Stock”), that may be issued pursuant to the Marriott Vacations Worldwide Corporation 2020 Equity Incentive Plan, as amended and restated (the “Plan”).</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1"/>
          <w:szCs w:val="21"/>
          <w:color w:val="auto"/>
        </w:rPr>
        <w:t>In connection with our representation, we have examined: (i) the Plan and related documents; (ii) the Registration Statement, including the exhibits (including those incorporated by reference) constituting a part of the Registration Statement; (iii) the Restated Certificate of Incorporation and the Restated Bylaws of the Company; (iv) the resolutions of the Company’s Board of Directors relating to the Plan and the issuance of Common Stock thereunder; and (v) such other corporate proceedings, documents and records as we have deemed necessary or appropriate to enable us to render this opinion. In our examination of the above-referenced documents, we have assumed the genuineness of all signatures, the authenticity of all documents, certificates and instruments submitted to us as originals and the conformity with the originals of all documents submitted to us as copies.</w:t>
      </w:r>
    </w:p>
    <w:p>
      <w:pPr>
        <w:spacing w:after="0" w:line="197"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1"/>
          <w:szCs w:val="21"/>
          <w:color w:val="auto"/>
        </w:rPr>
        <w:t>It is understood that this opinion is to be used only in connection with the offer and sale of the Registered Shares while the Registration Statement is effective.</w:t>
      </w:r>
    </w:p>
    <w:p>
      <w:pPr>
        <w:spacing w:after="0" w:line="17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1"/>
          <w:szCs w:val="21"/>
          <w:color w:val="auto"/>
        </w:rPr>
        <w:t>We express no opinion herein as to the laws of any state or jurisdiction other than the General Corporation Law of the State of Delaware and the federal laws of the United States of America. This opinion is being furnished in connection with the requirements of Item 601(b)(5) of Regulation S-K under the Securities Act, and no opinion is expressed herein as to any matter pertaining to the contents of the Registration Statement or the prospectus that forms a part thereof, other than as expressly stated herein with respect to the issuance of the Registered Shares.</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Based upon the foregoing, we are of the opinion that each of the Registered Shares, if and when issued by the Company pursuant to the terms and conditions of the Plan and as contemplated by the Registration Statement,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423545</wp:posOffset>
            </wp:positionV>
            <wp:extent cx="555498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5554980" cy="48006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1362710" cy="574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6271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Marriott Vacations Worldwide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19, 2026</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200" w:lineRule="exact"/>
        <w:rPr>
          <w:sz w:val="20"/>
          <w:szCs w:val="20"/>
          <w:color w:val="auto"/>
        </w:rPr>
      </w:pPr>
    </w:p>
    <w:p>
      <w:pPr>
        <w:spacing w:after="0" w:line="25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We consent to the use of this opinion as an exhibit to the Registration Statement. In giving our consent, we do not admit that we are “experts” within the meaning of Section 11 of the Securities Act or within the category of persons whose consent is required by Section 7 of the Securities Act.</w:t>
      </w:r>
    </w:p>
    <w:p>
      <w:pPr>
        <w:spacing w:after="0" w:line="18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/s/ Foley &amp; Lardner LLP</w:t>
      </w:r>
    </w:p>
    <w:p>
      <w:pPr>
        <w:spacing w:after="0" w:line="2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Foley &amp; Lardner LLP</w:t>
      </w:r>
    </w:p>
    <w:p>
      <w:pPr>
        <w:sectPr>
          <w:pgSz w:w="11900" w:h="16838" w:orient="portrait"/>
          <w:cols w:equalWidth="0" w:num="1">
            <w:col w:w="11220"/>
          </w:cols>
          <w:pgMar w:left="320" w:top="1440"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Marriott Vacations Worldwide Corporation 2020 Equity Incentive Plan of our reports dated February 27, 2026, with respect to the consolidated financial statements of Marriott Vacations Worldwide Corporation and the effectiveness of internal control over financial reporting of Marriott Vacations Worldwide Corporation included in its Annual Report (Form 10-K) for the year ended December 31, 2025, filed with the Securities and Exchange Commission.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13" Type="http://schemas.openxmlformats.org/officeDocument/2006/relationships/hyperlink" Target="https://www.sec.gov/Archives/edgar/data/1524358/000119312520175778/d944578ds8.htm" TargetMode="External"/><Relationship Id="rId14" Type="http://schemas.openxmlformats.org/officeDocument/2006/relationships/hyperlink" Target="https://www.sec.gov/Archives/edgar/data/1524358/000152435824000054/s-8filingmay2024.htm" TargetMode="External"/><Relationship Id="rId17" Type="http://schemas.openxmlformats.org/officeDocument/2006/relationships/hyperlink" Target="https://www.sec.gov/Archives/edgar/data/1524358/000152435823000022/exhibit32secondrestatedcer.htm" TargetMode="External"/><Relationship Id="rId18" Type="http://schemas.openxmlformats.org/officeDocument/2006/relationships/hyperlink" Target="https://www.sec.gov/Archives/edgar/data/1524358/000152435823000031/a2023q2ex33restatedbylawso.htm" TargetMode="External"/><Relationship Id="rId19" Type="http://schemas.openxmlformats.org/officeDocument/2006/relationships/hyperlink" Target="https://www.sec.gov/Archives/edgar/data/1524358/000152435826000024/exhibit101secondamendeda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2026-05-19T13:04:02Z</dcterms:created>
  <dcterms:modified xsi:type="dcterms:W3CDTF">2026-05-19T13:04:02Z</dcterms:modified>
</cp:coreProperties>
</file>